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351"/>
        <w:gridCol w:w="1510"/>
        <w:gridCol w:w="5211"/>
      </w:tblGrid>
      <w:tr w:rsidR="00441886" w:rsidRPr="00CB7FDD" w14:paraId="5818C7DC" w14:textId="77777777" w:rsidTr="002260A0">
        <w:tc>
          <w:tcPr>
            <w:tcW w:w="10598" w:type="dxa"/>
            <w:gridSpan w:val="4"/>
            <w:shd w:val="clear" w:color="auto" w:fill="76923C" w:themeFill="accent3" w:themeFillShade="BF"/>
          </w:tcPr>
          <w:p w14:paraId="6C8C2949" w14:textId="77777777" w:rsidR="00441886" w:rsidRPr="002260A0" w:rsidRDefault="00441886" w:rsidP="00CB7FDD">
            <w:pPr>
              <w:spacing w:after="0" w:line="240" w:lineRule="auto"/>
              <w:rPr>
                <w:color w:val="76923C" w:themeColor="accent3" w:themeShade="BF"/>
                <w:sz w:val="24"/>
              </w:rPr>
            </w:pPr>
            <w:r w:rsidRPr="00CB7FDD">
              <w:rPr>
                <w:color w:val="FFFFFF"/>
              </w:rPr>
              <w:t>SECTION 1 – IDENTIFYING INFORMATION</w:t>
            </w:r>
          </w:p>
        </w:tc>
      </w:tr>
      <w:tr w:rsidR="00441886" w:rsidRPr="00CB7FDD" w14:paraId="07D0E08E" w14:textId="77777777" w:rsidTr="00CB7FDD">
        <w:trPr>
          <w:trHeight w:val="689"/>
        </w:trPr>
        <w:tc>
          <w:tcPr>
            <w:tcW w:w="1394" w:type="dxa"/>
          </w:tcPr>
          <w:p w14:paraId="49B823F4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Title</w:t>
            </w:r>
          </w:p>
        </w:tc>
        <w:tc>
          <w:tcPr>
            <w:tcW w:w="2376" w:type="dxa"/>
          </w:tcPr>
          <w:p w14:paraId="38482A19" w14:textId="2AB7153C" w:rsidR="00735D4B" w:rsidRDefault="009862C2" w:rsidP="004D172E">
            <w:pPr>
              <w:spacing w:after="0" w:line="240" w:lineRule="auto"/>
            </w:pPr>
            <w:r>
              <w:t xml:space="preserve">Commercial Strategy Snr Manager </w:t>
            </w:r>
          </w:p>
          <w:p w14:paraId="4383CE7C" w14:textId="77777777" w:rsidR="00441886" w:rsidRPr="00CB7FDD" w:rsidRDefault="00441886" w:rsidP="004D172E">
            <w:pPr>
              <w:spacing w:after="0" w:line="240" w:lineRule="auto"/>
            </w:pPr>
          </w:p>
        </w:tc>
        <w:tc>
          <w:tcPr>
            <w:tcW w:w="1515" w:type="dxa"/>
          </w:tcPr>
          <w:p w14:paraId="329536E0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Department</w:t>
            </w:r>
          </w:p>
        </w:tc>
        <w:tc>
          <w:tcPr>
            <w:tcW w:w="5313" w:type="dxa"/>
          </w:tcPr>
          <w:p w14:paraId="21670253" w14:textId="77777777" w:rsidR="00441886" w:rsidRPr="00CB7FDD" w:rsidRDefault="00726613" w:rsidP="00CB7FDD">
            <w:pPr>
              <w:spacing w:after="0" w:line="240" w:lineRule="auto"/>
            </w:pPr>
            <w:r>
              <w:t>Sales</w:t>
            </w:r>
          </w:p>
        </w:tc>
      </w:tr>
      <w:tr w:rsidR="00441886" w:rsidRPr="00CB7FDD" w14:paraId="08807048" w14:textId="77777777" w:rsidTr="00CB7FDD">
        <w:trPr>
          <w:trHeight w:val="686"/>
        </w:trPr>
        <w:tc>
          <w:tcPr>
            <w:tcW w:w="1394" w:type="dxa"/>
          </w:tcPr>
          <w:p w14:paraId="7343561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Function</w:t>
            </w:r>
          </w:p>
        </w:tc>
        <w:tc>
          <w:tcPr>
            <w:tcW w:w="2376" w:type="dxa"/>
          </w:tcPr>
          <w:p w14:paraId="794B8F04" w14:textId="7D9F9429" w:rsidR="00F71C8C" w:rsidRPr="00AA54B7" w:rsidRDefault="00726613" w:rsidP="00CB7FDD">
            <w:pPr>
              <w:spacing w:after="0" w:line="240" w:lineRule="auto"/>
              <w:rPr>
                <w:highlight w:val="yellow"/>
              </w:rPr>
            </w:pPr>
            <w:r w:rsidRPr="005B054B">
              <w:t>Sales</w:t>
            </w:r>
            <w:r w:rsidR="005B054B">
              <w:t xml:space="preserve"> &amp; Category</w:t>
            </w:r>
          </w:p>
        </w:tc>
        <w:tc>
          <w:tcPr>
            <w:tcW w:w="1515" w:type="dxa"/>
          </w:tcPr>
          <w:p w14:paraId="62BA8FA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Site</w:t>
            </w:r>
          </w:p>
        </w:tc>
        <w:tc>
          <w:tcPr>
            <w:tcW w:w="5313" w:type="dxa"/>
          </w:tcPr>
          <w:p w14:paraId="2A25D59B" w14:textId="14842652" w:rsidR="00441886" w:rsidRPr="00914DD9" w:rsidRDefault="002E26E6" w:rsidP="002E26E6">
            <w:pPr>
              <w:spacing w:after="0" w:line="240" w:lineRule="auto"/>
            </w:pPr>
            <w:r>
              <w:t xml:space="preserve">Home Based with ability to travel to </w:t>
            </w:r>
            <w:r w:rsidR="0013130C">
              <w:t xml:space="preserve">all </w:t>
            </w:r>
            <w:r>
              <w:t xml:space="preserve">Hain </w:t>
            </w:r>
            <w:r w:rsidR="0013130C">
              <w:t xml:space="preserve">Factory and Office </w:t>
            </w:r>
            <w:r>
              <w:t>sites</w:t>
            </w:r>
            <w:r w:rsidR="0013130C">
              <w:t xml:space="preserve"> across t</w:t>
            </w:r>
            <w:bookmarkStart w:id="0" w:name="_GoBack"/>
            <w:bookmarkEnd w:id="0"/>
            <w:r w:rsidR="0013130C">
              <w:t>he UK</w:t>
            </w:r>
            <w:r w:rsidR="007858E9">
              <w:t>.</w:t>
            </w:r>
          </w:p>
        </w:tc>
      </w:tr>
      <w:tr w:rsidR="00441886" w:rsidRPr="00CB7FDD" w14:paraId="324CF8CF" w14:textId="77777777" w:rsidTr="00523FF2">
        <w:trPr>
          <w:trHeight w:val="684"/>
        </w:trPr>
        <w:tc>
          <w:tcPr>
            <w:tcW w:w="1394" w:type="dxa"/>
          </w:tcPr>
          <w:p w14:paraId="42602CE2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2376" w:type="dxa"/>
          </w:tcPr>
          <w:p w14:paraId="7EA6B2D0" w14:textId="1A1D65F8" w:rsidR="00441886" w:rsidRPr="00CB7FDD" w:rsidRDefault="009862C2" w:rsidP="00CB7FDD">
            <w:pPr>
              <w:spacing w:after="0" w:line="240" w:lineRule="auto"/>
            </w:pPr>
            <w:r>
              <w:t>March</w:t>
            </w:r>
            <w:r w:rsidR="008C4395">
              <w:t xml:space="preserve"> </w:t>
            </w:r>
            <w:r w:rsidR="0013130C">
              <w:t>202</w:t>
            </w:r>
            <w:r w:rsidR="008C4395">
              <w:t>5</w:t>
            </w:r>
          </w:p>
        </w:tc>
        <w:tc>
          <w:tcPr>
            <w:tcW w:w="1515" w:type="dxa"/>
          </w:tcPr>
          <w:p w14:paraId="5C26D829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Approved by</w:t>
            </w:r>
          </w:p>
          <w:p w14:paraId="593F8DCF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(manager)</w:t>
            </w:r>
          </w:p>
        </w:tc>
        <w:tc>
          <w:tcPr>
            <w:tcW w:w="5313" w:type="dxa"/>
          </w:tcPr>
          <w:p w14:paraId="76303422" w14:textId="5390A09C" w:rsidR="00441886" w:rsidRPr="00CB7FDD" w:rsidRDefault="009862C2" w:rsidP="00CB7FDD">
            <w:pPr>
              <w:spacing w:after="0" w:line="240" w:lineRule="auto"/>
            </w:pPr>
            <w:r>
              <w:t>Michael Hunter</w:t>
            </w:r>
          </w:p>
        </w:tc>
      </w:tr>
    </w:tbl>
    <w:p w14:paraId="4DF1EBCC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41886" w:rsidRPr="00CB7FDD" w14:paraId="1165DA21" w14:textId="77777777" w:rsidTr="002260A0">
        <w:tc>
          <w:tcPr>
            <w:tcW w:w="10598" w:type="dxa"/>
            <w:shd w:val="clear" w:color="auto" w:fill="76923C" w:themeFill="accent3" w:themeFillShade="BF"/>
          </w:tcPr>
          <w:p w14:paraId="54EFDFB4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2 – JOB SUMMARY</w:t>
            </w:r>
          </w:p>
        </w:tc>
      </w:tr>
      <w:tr w:rsidR="00441886" w:rsidRPr="00CB7FDD" w14:paraId="04161540" w14:textId="77777777" w:rsidTr="00CB7FDD">
        <w:trPr>
          <w:trHeight w:val="2199"/>
        </w:trPr>
        <w:tc>
          <w:tcPr>
            <w:tcW w:w="10598" w:type="dxa"/>
          </w:tcPr>
          <w:p w14:paraId="0B6DE062" w14:textId="56C770A7" w:rsidR="004D172E" w:rsidRDefault="00452D1F" w:rsidP="00C71A9A">
            <w:pPr>
              <w:spacing w:after="0" w:line="240" w:lineRule="auto"/>
              <w:jc w:val="both"/>
            </w:pPr>
            <w:r>
              <w:t xml:space="preserve">This role will be focussed on the commercial management of </w:t>
            </w:r>
            <w:r w:rsidR="0013130C">
              <w:t>key Customers</w:t>
            </w:r>
            <w:r w:rsidR="007858E9">
              <w:t xml:space="preserve">, seeking to maximise sustainable profitable growth across Hain </w:t>
            </w:r>
            <w:r w:rsidR="00D302C9">
              <w:t>Celestial</w:t>
            </w:r>
            <w:r w:rsidR="007858E9">
              <w:t xml:space="preserve"> Brand</w:t>
            </w:r>
            <w:r w:rsidR="00806225">
              <w:t>s</w:t>
            </w:r>
            <w:r w:rsidR="007858E9">
              <w:t xml:space="preserve"> and</w:t>
            </w:r>
            <w:r w:rsidR="00641635">
              <w:t>/or</w:t>
            </w:r>
            <w:r w:rsidR="007858E9">
              <w:t xml:space="preserve"> Own Label</w:t>
            </w:r>
            <w:r w:rsidR="00641635">
              <w:t xml:space="preserve"> products</w:t>
            </w:r>
            <w:r w:rsidR="007858E9">
              <w:t>.</w:t>
            </w:r>
          </w:p>
          <w:p w14:paraId="1145D284" w14:textId="77777777" w:rsidR="004D172E" w:rsidRDefault="004D172E" w:rsidP="00C71A9A">
            <w:pPr>
              <w:spacing w:after="0" w:line="240" w:lineRule="auto"/>
              <w:jc w:val="both"/>
            </w:pPr>
          </w:p>
          <w:p w14:paraId="3EA9CD4C" w14:textId="5E8ABDD8" w:rsidR="00186508" w:rsidRDefault="00186508" w:rsidP="00C71A9A">
            <w:pPr>
              <w:spacing w:after="0" w:line="240" w:lineRule="auto"/>
              <w:jc w:val="both"/>
            </w:pPr>
            <w:r>
              <w:t xml:space="preserve">Successful candidate must be able to build </w:t>
            </w:r>
            <w:r w:rsidR="00484E58">
              <w:t xml:space="preserve">strong relationships </w:t>
            </w:r>
            <w:r w:rsidR="0025282E">
              <w:t>and interface superbly across multiple functions</w:t>
            </w:r>
            <w:r w:rsidR="007858E9">
              <w:t xml:space="preserve"> and levels</w:t>
            </w:r>
            <w:r>
              <w:t>.</w:t>
            </w:r>
            <w:r w:rsidR="00581EE9">
              <w:t xml:space="preserve"> Working cross functionally both internally and externally, the individual is responsible for all aspects of the </w:t>
            </w:r>
            <w:r w:rsidR="00AC1673">
              <w:t>commercial strategy alignment between sales and marketing and the successful deployment of the category commercial plan</w:t>
            </w:r>
            <w:r w:rsidR="00CF4308">
              <w:t xml:space="preserve"> to drive executional excellence.</w:t>
            </w:r>
          </w:p>
          <w:p w14:paraId="1335B10E" w14:textId="77777777" w:rsidR="0025282E" w:rsidRDefault="0025282E" w:rsidP="00C71A9A">
            <w:pPr>
              <w:spacing w:after="0" w:line="240" w:lineRule="auto"/>
              <w:jc w:val="both"/>
            </w:pPr>
          </w:p>
          <w:p w14:paraId="0DD634C4" w14:textId="31281138" w:rsidR="00C27D3F" w:rsidRDefault="00A5799B" w:rsidP="00C71A9A">
            <w:pPr>
              <w:spacing w:after="0" w:line="240" w:lineRule="auto"/>
              <w:jc w:val="both"/>
            </w:pPr>
            <w:r>
              <w:t xml:space="preserve">Key objective </w:t>
            </w:r>
            <w:r w:rsidR="00484E58">
              <w:t>will be to</w:t>
            </w:r>
            <w:r>
              <w:t xml:space="preserve"> d</w:t>
            </w:r>
            <w:r w:rsidR="00186508">
              <w:t>riv</w:t>
            </w:r>
            <w:r w:rsidR="00484E58">
              <w:t>e</w:t>
            </w:r>
            <w:r w:rsidR="00186508">
              <w:t xml:space="preserve"> sales, </w:t>
            </w:r>
            <w:r w:rsidR="00484E58">
              <w:t>profit</w:t>
            </w:r>
            <w:r w:rsidR="007858E9">
              <w:t xml:space="preserve">, </w:t>
            </w:r>
            <w:r w:rsidR="00186508">
              <w:t>distribution</w:t>
            </w:r>
            <w:r w:rsidR="007858E9">
              <w:t xml:space="preserve"> and visibility</w:t>
            </w:r>
            <w:r w:rsidR="00186508">
              <w:t xml:space="preserve"> </w:t>
            </w:r>
            <w:r w:rsidR="0025282E">
              <w:t>within the agreed portfolio</w:t>
            </w:r>
            <w:r w:rsidR="00581EE9">
              <w:t xml:space="preserve">, </w:t>
            </w:r>
            <w:r w:rsidR="00581EE9" w:rsidRPr="00CB7FDD">
              <w:t xml:space="preserve">achieving and exceeding set </w:t>
            </w:r>
            <w:r w:rsidR="00581EE9">
              <w:t>targets/budget</w:t>
            </w:r>
            <w:r w:rsidR="0025282E">
              <w:t xml:space="preserve">. Managing existing business as well as </w:t>
            </w:r>
            <w:r w:rsidR="004720ED">
              <w:t xml:space="preserve">identifying </w:t>
            </w:r>
            <w:r w:rsidR="002E26E6">
              <w:t xml:space="preserve">profitable </w:t>
            </w:r>
            <w:r w:rsidR="0025282E">
              <w:t xml:space="preserve">new business </w:t>
            </w:r>
            <w:r w:rsidR="004720ED">
              <w:t>opportunities</w:t>
            </w:r>
            <w:r w:rsidR="0025282E">
              <w:t>.</w:t>
            </w:r>
            <w:r w:rsidR="00D470D6">
              <w:t xml:space="preserve"> </w:t>
            </w:r>
          </w:p>
          <w:p w14:paraId="7DFE4E48" w14:textId="200E2262" w:rsidR="00581EE9" w:rsidRDefault="00581EE9" w:rsidP="00C71A9A">
            <w:pPr>
              <w:spacing w:after="0" w:line="240" w:lineRule="auto"/>
              <w:jc w:val="both"/>
            </w:pPr>
          </w:p>
          <w:p w14:paraId="5949D7C0" w14:textId="41BF5D57" w:rsidR="00581EE9" w:rsidRDefault="00581EE9" w:rsidP="00C71A9A">
            <w:pPr>
              <w:spacing w:after="0" w:line="240" w:lineRule="auto"/>
              <w:jc w:val="both"/>
            </w:pPr>
            <w:r>
              <w:t>The role may have some direct and in-direct line management responsibility.</w:t>
            </w:r>
          </w:p>
          <w:p w14:paraId="2FDD8EFB" w14:textId="77777777" w:rsidR="0025282E" w:rsidRDefault="0025282E" w:rsidP="00C71A9A">
            <w:pPr>
              <w:spacing w:after="0" w:line="240" w:lineRule="auto"/>
              <w:jc w:val="both"/>
            </w:pPr>
          </w:p>
          <w:p w14:paraId="6DB2EC09" w14:textId="5736933A" w:rsidR="00D27BFB" w:rsidRPr="00CB7FDD" w:rsidRDefault="00D27BFB" w:rsidP="00C71A9A">
            <w:pPr>
              <w:spacing w:after="0" w:line="240" w:lineRule="auto"/>
              <w:jc w:val="both"/>
            </w:pPr>
            <w:r>
              <w:rPr>
                <w:rFonts w:cstheme="minorHAnsi"/>
                <w:lang w:val="en-US"/>
              </w:rPr>
              <w:t>It is a requirement that the jobholder and all reports are compliant with Competition Law at all times</w:t>
            </w:r>
          </w:p>
        </w:tc>
      </w:tr>
    </w:tbl>
    <w:p w14:paraId="5E39F504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3"/>
        <w:gridCol w:w="3674"/>
        <w:gridCol w:w="1619"/>
      </w:tblGrid>
      <w:tr w:rsidR="00441886" w:rsidRPr="00CB7FDD" w14:paraId="08BCFF74" w14:textId="77777777" w:rsidTr="002260A0">
        <w:tc>
          <w:tcPr>
            <w:tcW w:w="8837" w:type="dxa"/>
            <w:gridSpan w:val="2"/>
            <w:shd w:val="clear" w:color="auto" w:fill="76923C" w:themeFill="accent3" w:themeFillShade="BF"/>
          </w:tcPr>
          <w:p w14:paraId="70798034" w14:textId="0AB7AB92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3 – KEY </w:t>
            </w:r>
            <w:r w:rsidR="00D27BFB">
              <w:rPr>
                <w:color w:val="FFFFFF"/>
              </w:rPr>
              <w:t>ACCOUNTABILITIES</w:t>
            </w:r>
          </w:p>
        </w:tc>
        <w:tc>
          <w:tcPr>
            <w:tcW w:w="1619" w:type="dxa"/>
            <w:shd w:val="clear" w:color="auto" w:fill="76923C" w:themeFill="accent3" w:themeFillShade="BF"/>
          </w:tcPr>
          <w:p w14:paraId="00383E5C" w14:textId="5C0520CF" w:rsidR="00441886" w:rsidRPr="00CB7FDD" w:rsidRDefault="007858E9" w:rsidP="00CB7FD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INDICATIVE TIME SPLIT</w:t>
            </w:r>
          </w:p>
        </w:tc>
      </w:tr>
      <w:tr w:rsidR="001F0D01" w:rsidRPr="00CB7FDD" w14:paraId="42251BEC" w14:textId="77777777" w:rsidTr="005F6936">
        <w:trPr>
          <w:trHeight w:val="391"/>
        </w:trPr>
        <w:tc>
          <w:tcPr>
            <w:tcW w:w="8837" w:type="dxa"/>
            <w:gridSpan w:val="2"/>
          </w:tcPr>
          <w:p w14:paraId="39010164" w14:textId="77777777" w:rsidR="004E002D" w:rsidRPr="001711D2" w:rsidRDefault="004E002D" w:rsidP="004E002D">
            <w:r w:rsidRPr="001711D2">
              <w:t>Responsible for setting the strategic &amp; commercial direction of key brands.</w:t>
            </w:r>
          </w:p>
          <w:p w14:paraId="55A0C92D" w14:textId="16BAD187" w:rsidR="001F0D01" w:rsidRPr="001711D2" w:rsidRDefault="00E87AA5" w:rsidP="00C71A9A">
            <w:pPr>
              <w:spacing w:line="240" w:lineRule="auto"/>
              <w:ind w:right="175"/>
              <w:jc w:val="both"/>
            </w:pPr>
            <w:r w:rsidRPr="001711D2">
              <w:t>Deliver operational excellence processes from defining success, monitoring, tracking, re-defining, and driving the commercial and brand initiatives to deliver</w:t>
            </w:r>
            <w:r w:rsidR="0087245D" w:rsidRPr="001711D2">
              <w:t xml:space="preserve"> budget and agreed targets.</w:t>
            </w:r>
          </w:p>
        </w:tc>
        <w:tc>
          <w:tcPr>
            <w:tcW w:w="1619" w:type="dxa"/>
            <w:vAlign w:val="center"/>
          </w:tcPr>
          <w:p w14:paraId="1452A8DE" w14:textId="7A61121E" w:rsidR="001F0D01" w:rsidRDefault="00364DBF" w:rsidP="009A5231">
            <w:pPr>
              <w:jc w:val="center"/>
            </w:pPr>
            <w:r>
              <w:t>3</w:t>
            </w:r>
            <w:r w:rsidR="006A1E25">
              <w:t>0</w:t>
            </w:r>
            <w:r w:rsidR="007858E9">
              <w:t>%</w:t>
            </w:r>
          </w:p>
        </w:tc>
      </w:tr>
      <w:tr w:rsidR="00CA4250" w:rsidRPr="00CB7FDD" w14:paraId="1C595AAD" w14:textId="77777777" w:rsidTr="005F6936">
        <w:trPr>
          <w:trHeight w:val="391"/>
        </w:trPr>
        <w:tc>
          <w:tcPr>
            <w:tcW w:w="8837" w:type="dxa"/>
            <w:gridSpan w:val="2"/>
          </w:tcPr>
          <w:p w14:paraId="630A31DB" w14:textId="1804DEF8" w:rsidR="00CA4250" w:rsidRPr="001711D2" w:rsidRDefault="0087245D" w:rsidP="0087245D">
            <w:r w:rsidRPr="001711D2">
              <w:t>Support the customer teams on the IBP – ensuring alignment to key strategic initiatives &amp; own the commercial element of the IBP process – ‘owning’ the GSV-GM P&amp;L aligned with finance  and commercial sales.</w:t>
            </w:r>
          </w:p>
        </w:tc>
        <w:tc>
          <w:tcPr>
            <w:tcW w:w="1619" w:type="dxa"/>
            <w:vAlign w:val="center"/>
          </w:tcPr>
          <w:p w14:paraId="19278656" w14:textId="24484A93" w:rsidR="00CA4250" w:rsidRDefault="006A1E25" w:rsidP="00CA4250">
            <w:pPr>
              <w:jc w:val="center"/>
            </w:pPr>
            <w:r>
              <w:t>20</w:t>
            </w:r>
            <w:r w:rsidR="007858E9">
              <w:t>%</w:t>
            </w:r>
          </w:p>
        </w:tc>
      </w:tr>
      <w:tr w:rsidR="00CA4250" w:rsidRPr="00CB7FDD" w14:paraId="6AF77773" w14:textId="77777777" w:rsidTr="005F6936">
        <w:trPr>
          <w:trHeight w:val="391"/>
        </w:trPr>
        <w:tc>
          <w:tcPr>
            <w:tcW w:w="8837" w:type="dxa"/>
            <w:gridSpan w:val="2"/>
          </w:tcPr>
          <w:p w14:paraId="1F225A11" w14:textId="77777777" w:rsidR="007858E9" w:rsidRDefault="00BA745D" w:rsidP="00D46504">
            <w:r w:rsidRPr="001711D2">
              <w:t xml:space="preserve">Ensure the sales teams have all relevant  ‘Tool kits’ </w:t>
            </w:r>
            <w:r w:rsidR="00D46504" w:rsidRPr="001711D2">
              <w:t xml:space="preserve"> </w:t>
            </w:r>
            <w:proofErr w:type="spellStart"/>
            <w:r w:rsidR="00D46504" w:rsidRPr="001711D2">
              <w:t>incl</w:t>
            </w:r>
            <w:proofErr w:type="spellEnd"/>
            <w:r w:rsidR="00D46504" w:rsidRPr="001711D2">
              <w:t xml:space="preserve"> </w:t>
            </w:r>
            <w:r w:rsidRPr="001711D2">
              <w:t xml:space="preserve">Fact Sheets, Samples, Selling-Stories for NPD/key </w:t>
            </w:r>
            <w:r w:rsidR="00D46504" w:rsidRPr="001711D2">
              <w:t xml:space="preserve">brand </w:t>
            </w:r>
            <w:r w:rsidRPr="001711D2">
              <w:t>initiatives.</w:t>
            </w:r>
          </w:p>
          <w:p w14:paraId="03E5FACC" w14:textId="77777777" w:rsidR="00ED6985" w:rsidRPr="001711D2" w:rsidRDefault="00ED6985" w:rsidP="00ED6985">
            <w:r w:rsidRPr="001711D2">
              <w:t>Established winning portfolio needed to by channel and then engage R&amp;D/finance/sales teams to ensure feasibility and long-term profitability of portfolio.</w:t>
            </w:r>
          </w:p>
          <w:p w14:paraId="24AD0D52" w14:textId="28D31590" w:rsidR="00ED6985" w:rsidRPr="001711D2" w:rsidRDefault="00ED6985" w:rsidP="00ED6985">
            <w:r w:rsidRPr="001711D2">
              <w:t xml:space="preserve">Owning promotional pressure documents and </w:t>
            </w:r>
            <w:proofErr w:type="spellStart"/>
            <w:r w:rsidRPr="001711D2">
              <w:t>liasing</w:t>
            </w:r>
            <w:proofErr w:type="spellEnd"/>
            <w:r w:rsidRPr="001711D2">
              <w:t xml:space="preserve"> with sales teams to ensure strategic P&amp;P plans are executed/ in line with expectations</w:t>
            </w:r>
          </w:p>
        </w:tc>
        <w:tc>
          <w:tcPr>
            <w:tcW w:w="1619" w:type="dxa"/>
            <w:vAlign w:val="center"/>
          </w:tcPr>
          <w:p w14:paraId="1DE4BB70" w14:textId="309E0BF8" w:rsidR="00CA4250" w:rsidRDefault="006A1E25" w:rsidP="00CA4250">
            <w:pPr>
              <w:jc w:val="center"/>
            </w:pPr>
            <w:r>
              <w:t>3</w:t>
            </w:r>
            <w:r w:rsidR="00CA4250">
              <w:t>0</w:t>
            </w:r>
            <w:r w:rsidR="007858E9">
              <w:t>%</w:t>
            </w:r>
          </w:p>
        </w:tc>
      </w:tr>
      <w:tr w:rsidR="00CA4250" w:rsidRPr="00CB7FDD" w14:paraId="2142446B" w14:textId="77777777" w:rsidTr="005F6936">
        <w:trPr>
          <w:trHeight w:val="391"/>
        </w:trPr>
        <w:tc>
          <w:tcPr>
            <w:tcW w:w="8837" w:type="dxa"/>
            <w:gridSpan w:val="2"/>
          </w:tcPr>
          <w:p w14:paraId="32AE66B9" w14:textId="711CF8EF" w:rsidR="00CA4250" w:rsidRPr="001711D2" w:rsidRDefault="005770B3" w:rsidP="00361407">
            <w:r w:rsidRPr="001711D2">
              <w:t xml:space="preserve">Key contributor to projects – portfolio, innovations, commercial initiatives and acts as the internal liaison between functions to ensure seamless </w:t>
            </w:r>
            <w:r w:rsidR="00361407" w:rsidRPr="001711D2">
              <w:t>and streamlined planning to execution</w:t>
            </w:r>
          </w:p>
        </w:tc>
        <w:tc>
          <w:tcPr>
            <w:tcW w:w="1619" w:type="dxa"/>
            <w:vAlign w:val="center"/>
          </w:tcPr>
          <w:p w14:paraId="67A78911" w14:textId="78F1860D" w:rsidR="00CA4250" w:rsidRDefault="00CA4250" w:rsidP="007858E9">
            <w:pPr>
              <w:spacing w:line="240" w:lineRule="auto"/>
              <w:jc w:val="center"/>
            </w:pPr>
            <w:r>
              <w:t>10</w:t>
            </w:r>
            <w:r w:rsidR="007858E9">
              <w:t>%</w:t>
            </w:r>
          </w:p>
        </w:tc>
      </w:tr>
      <w:tr w:rsidR="00361407" w:rsidRPr="00CB7FDD" w14:paraId="691BC111" w14:textId="77777777" w:rsidTr="005F6936">
        <w:trPr>
          <w:trHeight w:val="391"/>
        </w:trPr>
        <w:tc>
          <w:tcPr>
            <w:tcW w:w="8837" w:type="dxa"/>
            <w:gridSpan w:val="2"/>
          </w:tcPr>
          <w:p w14:paraId="178F367F" w14:textId="77777777" w:rsidR="00361407" w:rsidRDefault="00480EBB" w:rsidP="00480EBB">
            <w:r w:rsidRPr="001711D2">
              <w:t>Support development of customer / channel initiatives e.g. Channel Playbooks, Channel specific packs/strategies.</w:t>
            </w:r>
          </w:p>
          <w:p w14:paraId="3DE409A8" w14:textId="77777777" w:rsidR="001711D2" w:rsidRDefault="001711D2" w:rsidP="00480EBB">
            <w:r w:rsidRPr="001711D2">
              <w:t>Support the development and monitoring of cost price increases</w:t>
            </w:r>
          </w:p>
          <w:p w14:paraId="713ED5D7" w14:textId="70535742" w:rsidR="00ED6985" w:rsidRPr="001711D2" w:rsidRDefault="00ED6985" w:rsidP="00480EBB">
            <w:r w:rsidRPr="001711D2">
              <w:t>Support the brand teams on internal and external sell-ins.</w:t>
            </w:r>
          </w:p>
        </w:tc>
        <w:tc>
          <w:tcPr>
            <w:tcW w:w="1619" w:type="dxa"/>
            <w:vAlign w:val="center"/>
          </w:tcPr>
          <w:p w14:paraId="129E9736" w14:textId="30613D5A" w:rsidR="00364DBF" w:rsidRDefault="00364DBF" w:rsidP="00364DBF">
            <w:pPr>
              <w:spacing w:line="240" w:lineRule="auto"/>
              <w:jc w:val="center"/>
            </w:pPr>
            <w:r>
              <w:t>10%</w:t>
            </w:r>
          </w:p>
        </w:tc>
      </w:tr>
      <w:tr w:rsidR="00CA4250" w:rsidRPr="00CB7FDD" w14:paraId="43892A8E" w14:textId="77777777" w:rsidTr="002260A0">
        <w:tc>
          <w:tcPr>
            <w:tcW w:w="10456" w:type="dxa"/>
            <w:gridSpan w:val="3"/>
            <w:shd w:val="clear" w:color="auto" w:fill="76923C" w:themeFill="accent3" w:themeFillShade="BF"/>
          </w:tcPr>
          <w:p w14:paraId="0EB7FD9D" w14:textId="77777777" w:rsidR="00CA4250" w:rsidRPr="00CB7FDD" w:rsidRDefault="00CA4250" w:rsidP="00CA4250">
            <w:pPr>
              <w:spacing w:after="0" w:line="240" w:lineRule="auto"/>
              <w:rPr>
                <w:color w:val="FFFFFF"/>
                <w:sz w:val="28"/>
              </w:rPr>
            </w:pPr>
            <w:r w:rsidRPr="00CB7FDD">
              <w:rPr>
                <w:color w:val="FFFFFF"/>
              </w:rPr>
              <w:t>SECTION 4 – EDUCATION &amp; EXPERIENCE</w:t>
            </w:r>
          </w:p>
        </w:tc>
      </w:tr>
      <w:tr w:rsidR="00CA4250" w:rsidRPr="00CB7FDD" w14:paraId="598324B8" w14:textId="77777777" w:rsidTr="005F6936">
        <w:trPr>
          <w:trHeight w:val="627"/>
        </w:trPr>
        <w:tc>
          <w:tcPr>
            <w:tcW w:w="5163" w:type="dxa"/>
            <w:vAlign w:val="center"/>
          </w:tcPr>
          <w:p w14:paraId="00325E1C" w14:textId="77777777" w:rsidR="00CA4250" w:rsidRPr="00CB7FDD" w:rsidRDefault="00CA4250" w:rsidP="00CA4250">
            <w:pPr>
              <w:spacing w:after="0" w:line="240" w:lineRule="auto"/>
            </w:pPr>
            <w:r w:rsidRPr="00CB7FDD">
              <w:t>Education</w:t>
            </w:r>
            <w:r>
              <w:t xml:space="preserve"> Level</w:t>
            </w:r>
          </w:p>
        </w:tc>
        <w:tc>
          <w:tcPr>
            <w:tcW w:w="5293" w:type="dxa"/>
            <w:gridSpan w:val="2"/>
            <w:vAlign w:val="center"/>
          </w:tcPr>
          <w:p w14:paraId="6A97B838" w14:textId="77777777" w:rsidR="00CA4250" w:rsidRPr="00CB7FDD" w:rsidRDefault="00CA4250" w:rsidP="007858E9">
            <w:pPr>
              <w:spacing w:after="0" w:line="240" w:lineRule="auto"/>
            </w:pPr>
            <w:r w:rsidRPr="00CB7FDD">
              <w:t>Preferably Degree level</w:t>
            </w:r>
          </w:p>
        </w:tc>
      </w:tr>
      <w:tr w:rsidR="00CA4250" w:rsidRPr="00CB7FDD" w14:paraId="6078762E" w14:textId="77777777" w:rsidTr="005F6936">
        <w:tc>
          <w:tcPr>
            <w:tcW w:w="5163" w:type="dxa"/>
            <w:vAlign w:val="center"/>
          </w:tcPr>
          <w:p w14:paraId="685F9BA5" w14:textId="77777777" w:rsidR="005F7B93" w:rsidRDefault="005F7B93" w:rsidP="009C191F">
            <w:pPr>
              <w:spacing w:after="0" w:line="240" w:lineRule="auto"/>
              <w:rPr>
                <w:rFonts w:cstheme="minorHAnsi"/>
              </w:rPr>
            </w:pPr>
            <w:r w:rsidRPr="00924F80">
              <w:rPr>
                <w:rFonts w:cstheme="minorHAnsi"/>
              </w:rPr>
              <w:t xml:space="preserve">Experience (i.e. Relevant experience, Industry Experience, Management level experience, </w:t>
            </w:r>
            <w:proofErr w:type="spellStart"/>
            <w:r w:rsidRPr="00924F80">
              <w:rPr>
                <w:rFonts w:cstheme="minorHAnsi"/>
              </w:rPr>
              <w:t>etc</w:t>
            </w:r>
            <w:proofErr w:type="spellEnd"/>
            <w:r w:rsidRPr="00924F80">
              <w:rPr>
                <w:rFonts w:cstheme="minorHAnsi"/>
              </w:rPr>
              <w:t>)</w:t>
            </w:r>
          </w:p>
          <w:p w14:paraId="172481A9" w14:textId="6B81A9E5" w:rsidR="00CA4250" w:rsidRPr="00CB7FDD" w:rsidRDefault="00CA4250" w:rsidP="009C191F">
            <w:pPr>
              <w:spacing w:after="0" w:line="240" w:lineRule="auto"/>
            </w:pPr>
          </w:p>
        </w:tc>
        <w:tc>
          <w:tcPr>
            <w:tcW w:w="5293" w:type="dxa"/>
            <w:gridSpan w:val="2"/>
          </w:tcPr>
          <w:p w14:paraId="0F994239" w14:textId="0A38C6BC" w:rsidR="00CA4250" w:rsidRDefault="00CA4250" w:rsidP="00C71A9A">
            <w:pPr>
              <w:spacing w:after="0"/>
              <w:jc w:val="both"/>
            </w:pPr>
            <w:r w:rsidRPr="00CB7FDD">
              <w:t>FMCG sales background</w:t>
            </w:r>
            <w:r>
              <w:t xml:space="preserve"> (Ideally Blue Chip) with experience of agreeing &amp; managing JBPs</w:t>
            </w:r>
            <w:r w:rsidR="008A5661">
              <w:t xml:space="preserve"> and executing customer plans.</w:t>
            </w:r>
          </w:p>
          <w:p w14:paraId="6E8EE990" w14:textId="6C8794B3" w:rsidR="00CA4250" w:rsidRDefault="00CA4250" w:rsidP="00C71A9A">
            <w:pPr>
              <w:spacing w:after="0"/>
              <w:jc w:val="both"/>
            </w:pPr>
            <w:r>
              <w:t xml:space="preserve">Exposure to Customers essential </w:t>
            </w:r>
            <w:r w:rsidR="008A5661">
              <w:t xml:space="preserve">and preferably across multiple </w:t>
            </w:r>
            <w:r w:rsidR="00D67417">
              <w:t>customers / channels.</w:t>
            </w:r>
          </w:p>
          <w:p w14:paraId="7BA329DA" w14:textId="661FD2F9" w:rsidR="00CA4250" w:rsidRDefault="00CA4250" w:rsidP="00C71A9A">
            <w:pPr>
              <w:spacing w:after="0"/>
              <w:jc w:val="both"/>
            </w:pPr>
            <w:r>
              <w:lastRenderedPageBreak/>
              <w:t xml:space="preserve">Experience of Brand and Retail Own Label, preferably with </w:t>
            </w:r>
            <w:r w:rsidR="00806225">
              <w:t xml:space="preserve">both </w:t>
            </w:r>
            <w:r w:rsidR="00197E12">
              <w:t xml:space="preserve">a chilled and </w:t>
            </w:r>
            <w:r w:rsidR="00806225">
              <w:t xml:space="preserve">either an ambient or frozen </w:t>
            </w:r>
            <w:r w:rsidR="00197E12">
              <w:t xml:space="preserve">food </w:t>
            </w:r>
            <w:r>
              <w:t>business.</w:t>
            </w:r>
          </w:p>
          <w:p w14:paraId="3D8989CE" w14:textId="0F657C18" w:rsidR="00CA4250" w:rsidRPr="00CB7FDD" w:rsidRDefault="00CA4250" w:rsidP="00C71A9A">
            <w:pPr>
              <w:spacing w:after="0" w:line="240" w:lineRule="auto"/>
              <w:jc w:val="both"/>
            </w:pPr>
          </w:p>
        </w:tc>
      </w:tr>
      <w:tr w:rsidR="00CA4250" w:rsidRPr="00CB7FDD" w14:paraId="63B70271" w14:textId="77777777" w:rsidTr="005F6936">
        <w:trPr>
          <w:trHeight w:val="2298"/>
        </w:trPr>
        <w:tc>
          <w:tcPr>
            <w:tcW w:w="5163" w:type="dxa"/>
            <w:vAlign w:val="center"/>
          </w:tcPr>
          <w:p w14:paraId="085AB475" w14:textId="77777777" w:rsidR="00CA4250" w:rsidRDefault="00CA4250" w:rsidP="009C191F">
            <w:pPr>
              <w:spacing w:after="0" w:line="240" w:lineRule="auto"/>
            </w:pPr>
          </w:p>
          <w:p w14:paraId="1AC995A4" w14:textId="47754E69" w:rsidR="00CA4250" w:rsidRPr="00CB7FDD" w:rsidRDefault="00CA4250" w:rsidP="009C191F">
            <w:pPr>
              <w:spacing w:after="0" w:line="240" w:lineRule="auto"/>
            </w:pPr>
            <w:r w:rsidRPr="00CB7FDD">
              <w:t>Key Capabilities and Characteristics (Interpersonal skills, specific competencies, specific skills, etc</w:t>
            </w:r>
            <w:r>
              <w:t>.</w:t>
            </w:r>
            <w:r w:rsidRPr="00CB7FDD">
              <w:t>)</w:t>
            </w:r>
          </w:p>
        </w:tc>
        <w:tc>
          <w:tcPr>
            <w:tcW w:w="5293" w:type="dxa"/>
            <w:gridSpan w:val="2"/>
          </w:tcPr>
          <w:p w14:paraId="427E83B4" w14:textId="2745308D" w:rsidR="00CA4250" w:rsidRPr="005B054B" w:rsidRDefault="00CA4250" w:rsidP="00C71A9A">
            <w:pPr>
              <w:spacing w:after="0"/>
              <w:jc w:val="both"/>
            </w:pPr>
            <w:r>
              <w:t xml:space="preserve">Must possess excellent communication </w:t>
            </w:r>
            <w:r w:rsidR="00706316">
              <w:t xml:space="preserve">&amp; presentation </w:t>
            </w:r>
            <w:r>
              <w:t>skills</w:t>
            </w:r>
            <w:r w:rsidRPr="005B054B">
              <w:t>, both internally and externally.</w:t>
            </w:r>
            <w:r w:rsidR="0050237A" w:rsidRPr="005B054B">
              <w:t xml:space="preserve">  Great usage of Absolute Clarity framework.</w:t>
            </w:r>
          </w:p>
          <w:p w14:paraId="0A8F630A" w14:textId="008C4665" w:rsidR="00CA4250" w:rsidRPr="005B054B" w:rsidRDefault="00CA4250" w:rsidP="00C71A9A">
            <w:pPr>
              <w:spacing w:after="0"/>
              <w:jc w:val="both"/>
            </w:pPr>
            <w:r w:rsidRPr="005B054B">
              <w:t>Results focussed.</w:t>
            </w:r>
          </w:p>
          <w:p w14:paraId="207536D5" w14:textId="67688F51" w:rsidR="0050237A" w:rsidRPr="005B054B" w:rsidRDefault="0050237A" w:rsidP="00C71A9A">
            <w:pPr>
              <w:spacing w:after="0"/>
              <w:jc w:val="both"/>
            </w:pPr>
            <w:r w:rsidRPr="005B054B">
              <w:t>Strong selling skills, particularly using Selling with Impact framework</w:t>
            </w:r>
          </w:p>
          <w:p w14:paraId="39D73785" w14:textId="77777777" w:rsidR="00CA4250" w:rsidRPr="005B054B" w:rsidRDefault="00CA4250" w:rsidP="00C71A9A">
            <w:pPr>
              <w:spacing w:after="0" w:line="240" w:lineRule="auto"/>
              <w:jc w:val="both"/>
            </w:pPr>
            <w:r w:rsidRPr="005B054B">
              <w:t>Strong commercial acumen and attention to detail.</w:t>
            </w:r>
          </w:p>
          <w:p w14:paraId="1079CEB3" w14:textId="2F2DDE59" w:rsidR="00CA4250" w:rsidRDefault="0050237A" w:rsidP="00C71A9A">
            <w:pPr>
              <w:spacing w:after="0" w:line="240" w:lineRule="auto"/>
              <w:jc w:val="both"/>
            </w:pPr>
            <w:r w:rsidRPr="005B054B">
              <w:t xml:space="preserve">Strong </w:t>
            </w:r>
            <w:r w:rsidR="00CA4250" w:rsidRPr="005B054B">
              <w:t>negotiation skills</w:t>
            </w:r>
            <w:r w:rsidRPr="005B054B">
              <w:t>, particularly using Ninja Negotiation framework</w:t>
            </w:r>
          </w:p>
          <w:p w14:paraId="3956001B" w14:textId="233D30AF" w:rsidR="00581EE9" w:rsidRPr="00914DD9" w:rsidRDefault="00581EE9" w:rsidP="00C71A9A">
            <w:pPr>
              <w:spacing w:after="0" w:line="240" w:lineRule="auto"/>
              <w:jc w:val="both"/>
            </w:pPr>
            <w:r>
              <w:t xml:space="preserve">Strong competency of Excel and </w:t>
            </w:r>
            <w:r w:rsidR="00AA54B7">
              <w:t>PowerPoint</w:t>
            </w:r>
            <w:r>
              <w:t xml:space="preserve"> software.</w:t>
            </w:r>
          </w:p>
          <w:p w14:paraId="37875A04" w14:textId="2A4B45C4" w:rsidR="00CA4250" w:rsidRDefault="00CA4250" w:rsidP="00C71A9A">
            <w:pPr>
              <w:spacing w:after="0" w:line="240" w:lineRule="auto"/>
              <w:jc w:val="both"/>
            </w:pPr>
            <w:r w:rsidRPr="00914DD9">
              <w:t>Track record o</w:t>
            </w:r>
            <w:r>
              <w:t xml:space="preserve">f building successful </w:t>
            </w:r>
            <w:r w:rsidR="0025461C">
              <w:t xml:space="preserve">multi-faceted </w:t>
            </w:r>
            <w:r w:rsidR="00D67417">
              <w:t>stakeholder</w:t>
            </w:r>
            <w:r>
              <w:t xml:space="preserve"> relationships.</w:t>
            </w:r>
          </w:p>
          <w:p w14:paraId="127A5519" w14:textId="77777777" w:rsidR="00D302C9" w:rsidRDefault="00D302C9" w:rsidP="00D302C9">
            <w:pPr>
              <w:pStyle w:val="TableParagraph"/>
              <w:ind w:left="0"/>
            </w:pPr>
          </w:p>
          <w:p w14:paraId="0272AA34" w14:textId="3E886AE9" w:rsidR="00D302C9" w:rsidRDefault="00D302C9" w:rsidP="00D302C9">
            <w:pPr>
              <w:pStyle w:val="TableParagraph"/>
              <w:ind w:left="0"/>
            </w:pPr>
            <w:r>
              <w:t>Demonstrates</w:t>
            </w:r>
            <w:r>
              <w:rPr>
                <w:spacing w:val="-6"/>
              </w:rPr>
              <w:t xml:space="preserve"> </w:t>
            </w:r>
            <w:r>
              <w:t>behaviours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line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Company’s Values (Own It, Win Together, Be Curious &amp; Foster Inclusion)</w:t>
            </w:r>
          </w:p>
          <w:p w14:paraId="2BFB534A" w14:textId="40907F5B" w:rsidR="00197E12" w:rsidRPr="00914DD9" w:rsidRDefault="00197E12" w:rsidP="00C71A9A">
            <w:pPr>
              <w:spacing w:after="0" w:line="240" w:lineRule="auto"/>
              <w:jc w:val="both"/>
            </w:pPr>
          </w:p>
        </w:tc>
      </w:tr>
    </w:tbl>
    <w:p w14:paraId="7EE58A9B" w14:textId="77777777" w:rsidR="00441886" w:rsidRPr="00C41DB8" w:rsidRDefault="00441886">
      <w:pPr>
        <w:rPr>
          <w:color w:val="FFFFFF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7061"/>
      </w:tblGrid>
      <w:tr w:rsidR="00441886" w:rsidRPr="00CB7FDD" w14:paraId="641B40B3" w14:textId="77777777" w:rsidTr="002260A0">
        <w:tc>
          <w:tcPr>
            <w:tcW w:w="10598" w:type="dxa"/>
            <w:gridSpan w:val="2"/>
            <w:shd w:val="clear" w:color="auto" w:fill="76923C" w:themeFill="accent3" w:themeFillShade="BF"/>
          </w:tcPr>
          <w:p w14:paraId="4703492E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5 – DIMENSIONS &amp; SCOPE</w:t>
            </w:r>
          </w:p>
        </w:tc>
      </w:tr>
      <w:tr w:rsidR="00CA4250" w:rsidRPr="00CB7FDD" w14:paraId="488BAB25" w14:textId="77777777" w:rsidTr="002B5381">
        <w:trPr>
          <w:trHeight w:val="696"/>
        </w:trPr>
        <w:tc>
          <w:tcPr>
            <w:tcW w:w="3439" w:type="dxa"/>
            <w:vAlign w:val="center"/>
          </w:tcPr>
          <w:p w14:paraId="048E0ED0" w14:textId="77777777" w:rsidR="00CA4250" w:rsidRPr="00CB7FDD" w:rsidRDefault="00CA4250" w:rsidP="009C191F">
            <w:pPr>
              <w:spacing w:after="0" w:line="240" w:lineRule="auto"/>
            </w:pPr>
            <w:r w:rsidRPr="00CB7FDD">
              <w:t>Budgetary Responsibility</w:t>
            </w:r>
          </w:p>
        </w:tc>
        <w:tc>
          <w:tcPr>
            <w:tcW w:w="7159" w:type="dxa"/>
          </w:tcPr>
          <w:p w14:paraId="650AFFCE" w14:textId="1209FD87" w:rsidR="00197E12" w:rsidRDefault="00197E12" w:rsidP="00C71A9A">
            <w:pPr>
              <w:spacing w:after="0" w:line="240" w:lineRule="auto"/>
              <w:jc w:val="both"/>
            </w:pPr>
            <w:r>
              <w:t xml:space="preserve">Direct </w:t>
            </w:r>
            <w:r w:rsidRPr="00CB7FDD">
              <w:t>Budget</w:t>
            </w:r>
            <w:r>
              <w:t xml:space="preserve"> responsibility for Sales Value and Volume, together with all associated spend/investments, through to Delivered Gross Margin at </w:t>
            </w:r>
            <w:r w:rsidR="00D67417">
              <w:t>defined category</w:t>
            </w:r>
            <w:r>
              <w:t xml:space="preserve"> level.</w:t>
            </w:r>
            <w:r w:rsidR="00D67417">
              <w:t xml:space="preserve"> </w:t>
            </w:r>
            <w:r w:rsidR="009D1CAA">
              <w:t xml:space="preserve">In the range of £100M - £130M. </w:t>
            </w:r>
          </w:p>
          <w:p w14:paraId="72047AEB" w14:textId="77777777" w:rsidR="00197E12" w:rsidRDefault="00197E12" w:rsidP="00C71A9A">
            <w:pPr>
              <w:spacing w:after="0" w:line="240" w:lineRule="auto"/>
              <w:jc w:val="both"/>
            </w:pPr>
          </w:p>
          <w:p w14:paraId="07DD1C19" w14:textId="61454361" w:rsidR="00CA4250" w:rsidRPr="00CB7FDD" w:rsidRDefault="00197E12" w:rsidP="00C71A9A">
            <w:pPr>
              <w:spacing w:after="0" w:line="240" w:lineRule="auto"/>
              <w:jc w:val="both"/>
            </w:pPr>
            <w:r>
              <w:t>Positive contribution towards Company’s NSV &amp; EBITDA targets, as well as overall Balanced Scorecard measures</w:t>
            </w:r>
          </w:p>
        </w:tc>
      </w:tr>
      <w:tr w:rsidR="00441886" w:rsidRPr="00CB7FDD" w14:paraId="541BCB37" w14:textId="77777777" w:rsidTr="002B5381">
        <w:trPr>
          <w:trHeight w:val="1812"/>
        </w:trPr>
        <w:tc>
          <w:tcPr>
            <w:tcW w:w="3439" w:type="dxa"/>
            <w:vAlign w:val="center"/>
          </w:tcPr>
          <w:p w14:paraId="31318FE5" w14:textId="77777777" w:rsidR="00441886" w:rsidRPr="00CB7FDD" w:rsidRDefault="00441886" w:rsidP="009C191F">
            <w:pPr>
              <w:spacing w:after="0" w:line="240" w:lineRule="auto"/>
            </w:pPr>
            <w:r w:rsidRPr="00CB7FDD">
              <w:t>Other key dimensions</w:t>
            </w:r>
          </w:p>
          <w:p w14:paraId="62B8AE75" w14:textId="3D9A07F1" w:rsidR="00441886" w:rsidRPr="00CB7FDD" w:rsidRDefault="00441886" w:rsidP="009C191F">
            <w:pPr>
              <w:spacing w:after="0" w:line="240" w:lineRule="auto"/>
            </w:pPr>
            <w:r w:rsidRPr="00CB7FDD">
              <w:t xml:space="preserve">(e.g. sales, products, </w:t>
            </w:r>
            <w:proofErr w:type="spellStart"/>
            <w:r w:rsidRPr="00CB7FDD">
              <w:t>skus</w:t>
            </w:r>
            <w:proofErr w:type="spellEnd"/>
            <w:r w:rsidRPr="00CB7FDD">
              <w:t>, reports, invoices, etc</w:t>
            </w:r>
            <w:r w:rsidR="00CA4250">
              <w:t>.)</w:t>
            </w:r>
          </w:p>
        </w:tc>
        <w:tc>
          <w:tcPr>
            <w:tcW w:w="7159" w:type="dxa"/>
          </w:tcPr>
          <w:p w14:paraId="6209A06F" w14:textId="1B3DD917" w:rsidR="008A3951" w:rsidRDefault="008A3951" w:rsidP="00C71A9A">
            <w:pPr>
              <w:spacing w:after="0" w:line="240" w:lineRule="auto"/>
              <w:jc w:val="both"/>
            </w:pPr>
            <w:r>
              <w:t>Managing</w:t>
            </w:r>
            <w:r w:rsidR="00441886">
              <w:t xml:space="preserve"> </w:t>
            </w:r>
            <w:r w:rsidR="00F400EB">
              <w:t xml:space="preserve">through </w:t>
            </w:r>
            <w:r w:rsidR="00441886">
              <w:t>&amp; below the line spend within pre</w:t>
            </w:r>
            <w:r w:rsidR="00CA4250">
              <w:t>-</w:t>
            </w:r>
            <w:r w:rsidR="00441886">
              <w:t xml:space="preserve">agreed budgetary levels for </w:t>
            </w:r>
            <w:r w:rsidR="009D1CAA">
              <w:t>defined categories.</w:t>
            </w:r>
            <w:r w:rsidR="00441886">
              <w:t xml:space="preserve">  </w:t>
            </w:r>
          </w:p>
          <w:p w14:paraId="420FABC2" w14:textId="321DB81F" w:rsidR="00CA4250" w:rsidRDefault="00CA4250" w:rsidP="00C71A9A">
            <w:pPr>
              <w:spacing w:after="0" w:line="240" w:lineRule="auto"/>
              <w:jc w:val="both"/>
            </w:pPr>
            <w:r>
              <w:t>Agreeing promotions aligned to Finance/Category/Marketing guidelines</w:t>
            </w:r>
            <w:r w:rsidR="007858E9">
              <w:t>.</w:t>
            </w:r>
          </w:p>
          <w:p w14:paraId="265CABAD" w14:textId="75B71779" w:rsidR="008A3951" w:rsidRDefault="00441886" w:rsidP="00C71A9A">
            <w:pPr>
              <w:spacing w:after="0" w:line="240" w:lineRule="auto"/>
              <w:jc w:val="both"/>
            </w:pPr>
            <w:r>
              <w:t xml:space="preserve">Preparation of </w:t>
            </w:r>
            <w:r w:rsidR="00313C9F">
              <w:t>weekly/</w:t>
            </w:r>
            <w:r w:rsidR="008131F2">
              <w:t xml:space="preserve">monthly </w:t>
            </w:r>
            <w:r>
              <w:t>repo</w:t>
            </w:r>
            <w:r w:rsidR="008131F2">
              <w:t xml:space="preserve">rts on customer </w:t>
            </w:r>
            <w:r w:rsidR="009D1CAA">
              <w:t xml:space="preserve">&amp; category </w:t>
            </w:r>
            <w:r w:rsidR="008131F2">
              <w:t>performance</w:t>
            </w:r>
            <w:r w:rsidR="00313C9F">
              <w:t>.</w:t>
            </w:r>
          </w:p>
          <w:p w14:paraId="23D0ABFE" w14:textId="3A18BE04" w:rsidR="00441886" w:rsidRDefault="008A3951" w:rsidP="00C71A9A">
            <w:pPr>
              <w:spacing w:after="0" w:line="240" w:lineRule="auto"/>
              <w:jc w:val="both"/>
            </w:pPr>
            <w:r>
              <w:t>U</w:t>
            </w:r>
            <w:r w:rsidR="00441886">
              <w:t>nderstanding of</w:t>
            </w:r>
            <w:r w:rsidR="009D1CAA">
              <w:t xml:space="preserve"> category /</w:t>
            </w:r>
            <w:r w:rsidR="00441886">
              <w:t xml:space="preserve"> </w:t>
            </w:r>
            <w:r w:rsidR="00767282">
              <w:t>c</w:t>
            </w:r>
            <w:r w:rsidR="0025461C">
              <w:t xml:space="preserve">ustomer and </w:t>
            </w:r>
            <w:r w:rsidR="00441886">
              <w:t xml:space="preserve">competitor </w:t>
            </w:r>
            <w:r>
              <w:t>set</w:t>
            </w:r>
            <w:r w:rsidR="0025461C">
              <w:t>, sharing insights internally.</w:t>
            </w:r>
          </w:p>
          <w:p w14:paraId="4C32CE29" w14:textId="1F26A0D0" w:rsidR="00A91A51" w:rsidRPr="00CB7FDD" w:rsidRDefault="00A91A51" w:rsidP="00641635">
            <w:pPr>
              <w:spacing w:after="0" w:line="240" w:lineRule="auto"/>
              <w:jc w:val="both"/>
            </w:pPr>
            <w:r>
              <w:t xml:space="preserve">Role </w:t>
            </w:r>
            <w:r w:rsidR="00767282">
              <w:t xml:space="preserve">plays a critical role in </w:t>
            </w:r>
            <w:r w:rsidR="00F50F1C">
              <w:t>driving alignment with the Portfolio category teams and has a key role participating with the</w:t>
            </w:r>
            <w:r w:rsidR="00270EA1">
              <w:t xml:space="preserve"> Portfolio leadership team.</w:t>
            </w:r>
          </w:p>
        </w:tc>
      </w:tr>
    </w:tbl>
    <w:p w14:paraId="494FF265" w14:textId="77777777" w:rsidR="00441886" w:rsidRPr="00C41DB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186"/>
      </w:tblGrid>
      <w:tr w:rsidR="00441886" w:rsidRPr="00CB7FDD" w14:paraId="3D037985" w14:textId="77777777" w:rsidTr="002260A0">
        <w:tc>
          <w:tcPr>
            <w:tcW w:w="10598" w:type="dxa"/>
            <w:gridSpan w:val="2"/>
            <w:shd w:val="clear" w:color="auto" w:fill="76923C" w:themeFill="accent3" w:themeFillShade="BF"/>
          </w:tcPr>
          <w:p w14:paraId="1B12D85F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0"/>
              </w:rPr>
            </w:pPr>
            <w:r w:rsidRPr="00CB7FDD">
              <w:rPr>
                <w:color w:val="FFFFFF"/>
              </w:rPr>
              <w:t>SECTION 6 – CONDITIONS OF ROLE</w:t>
            </w:r>
          </w:p>
        </w:tc>
      </w:tr>
      <w:tr w:rsidR="00441886" w:rsidRPr="00CB7FDD" w14:paraId="3BCE8F1A" w14:textId="77777777" w:rsidTr="002B5381">
        <w:trPr>
          <w:trHeight w:val="1724"/>
        </w:trPr>
        <w:tc>
          <w:tcPr>
            <w:tcW w:w="5341" w:type="dxa"/>
            <w:vAlign w:val="center"/>
          </w:tcPr>
          <w:p w14:paraId="4959C852" w14:textId="77777777" w:rsidR="008A3951" w:rsidRDefault="008A3951" w:rsidP="009C191F">
            <w:pPr>
              <w:spacing w:after="0" w:line="240" w:lineRule="auto"/>
            </w:pPr>
          </w:p>
          <w:p w14:paraId="1466C5F0" w14:textId="77777777" w:rsidR="00441886" w:rsidRPr="00CB7FDD" w:rsidRDefault="00441886" w:rsidP="009C191F">
            <w:pPr>
              <w:spacing w:after="0" w:line="240" w:lineRule="auto"/>
            </w:pPr>
            <w:r w:rsidRPr="00CB7FDD">
              <w:t>State any conditions for role</w:t>
            </w:r>
          </w:p>
          <w:p w14:paraId="45C43AFD" w14:textId="77777777" w:rsidR="00441886" w:rsidRPr="00CB7FDD" w:rsidRDefault="00441886" w:rsidP="009C191F">
            <w:pPr>
              <w:spacing w:after="0" w:line="240" w:lineRule="auto"/>
            </w:pPr>
          </w:p>
        </w:tc>
        <w:tc>
          <w:tcPr>
            <w:tcW w:w="5257" w:type="dxa"/>
          </w:tcPr>
          <w:p w14:paraId="1417DB99" w14:textId="77777777" w:rsidR="00441886" w:rsidRPr="00CB7FDD" w:rsidRDefault="00441886" w:rsidP="00CB7FDD">
            <w:pPr>
              <w:spacing w:after="0" w:line="240" w:lineRule="auto"/>
            </w:pPr>
          </w:p>
          <w:p w14:paraId="72502E55" w14:textId="545185BB" w:rsidR="00B74746" w:rsidRDefault="00441886" w:rsidP="008A3951">
            <w:pPr>
              <w:spacing w:after="0" w:line="240" w:lineRule="auto"/>
            </w:pPr>
            <w:r w:rsidRPr="00CB7FDD">
              <w:t xml:space="preserve">Role </w:t>
            </w:r>
            <w:r w:rsidRPr="00914DD9">
              <w:t xml:space="preserve">will </w:t>
            </w:r>
            <w:r w:rsidR="00B74746">
              <w:t xml:space="preserve">require </w:t>
            </w:r>
            <w:r w:rsidR="00CA4250">
              <w:t>regular t</w:t>
            </w:r>
            <w:r w:rsidRPr="00914DD9">
              <w:t xml:space="preserve">ravel </w:t>
            </w:r>
            <w:r w:rsidR="00B74746">
              <w:t xml:space="preserve">to </w:t>
            </w:r>
            <w:r w:rsidR="00CA4250">
              <w:t xml:space="preserve">multiple </w:t>
            </w:r>
            <w:r w:rsidR="00B74746">
              <w:t xml:space="preserve">Hain </w:t>
            </w:r>
            <w:r w:rsidR="00CA4250">
              <w:t>Factory and Office sites, and</w:t>
            </w:r>
            <w:r w:rsidR="00B41643">
              <w:t xml:space="preserve"> </w:t>
            </w:r>
            <w:r w:rsidR="0025461C">
              <w:t xml:space="preserve">frequent </w:t>
            </w:r>
            <w:r w:rsidR="00CA4250">
              <w:t>C</w:t>
            </w:r>
            <w:r w:rsidR="00B41643">
              <w:t>ustomer</w:t>
            </w:r>
            <w:r w:rsidR="0025461C">
              <w:t xml:space="preserve"> Head Office and Route to Market</w:t>
            </w:r>
            <w:r w:rsidR="00CA4250">
              <w:t xml:space="preserve"> visits across the UK.</w:t>
            </w:r>
          </w:p>
          <w:p w14:paraId="3ED3DD23" w14:textId="77777777" w:rsidR="00CA4250" w:rsidRDefault="00CA4250" w:rsidP="008A3951">
            <w:pPr>
              <w:spacing w:after="0" w:line="240" w:lineRule="auto"/>
            </w:pPr>
          </w:p>
          <w:p w14:paraId="0822D83F" w14:textId="392D4C63" w:rsidR="003B1C0B" w:rsidRPr="00CB7FDD" w:rsidRDefault="008A3951" w:rsidP="008A3951">
            <w:pPr>
              <w:spacing w:after="0" w:line="240" w:lineRule="auto"/>
            </w:pPr>
            <w:r>
              <w:t xml:space="preserve">This role </w:t>
            </w:r>
            <w:r w:rsidR="00441886" w:rsidRPr="00CB7FDD">
              <w:t>may include overnight stays.</w:t>
            </w:r>
          </w:p>
        </w:tc>
      </w:tr>
    </w:tbl>
    <w:p w14:paraId="7E54A458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2"/>
        <w:gridCol w:w="3204"/>
      </w:tblGrid>
      <w:tr w:rsidR="00441886" w:rsidRPr="00CB7FDD" w14:paraId="60427D86" w14:textId="77777777" w:rsidTr="002260A0">
        <w:tc>
          <w:tcPr>
            <w:tcW w:w="10598" w:type="dxa"/>
            <w:gridSpan w:val="2"/>
            <w:shd w:val="clear" w:color="auto" w:fill="76923C" w:themeFill="accent3" w:themeFillShade="BF"/>
          </w:tcPr>
          <w:p w14:paraId="1031C440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7 – POSITION IN ORGANISATION</w:t>
            </w:r>
          </w:p>
        </w:tc>
      </w:tr>
      <w:tr w:rsidR="00CA4250" w:rsidRPr="00CB7FDD" w14:paraId="31D00484" w14:textId="77777777" w:rsidTr="002B5381">
        <w:trPr>
          <w:trHeight w:val="402"/>
        </w:trPr>
        <w:tc>
          <w:tcPr>
            <w:tcW w:w="7366" w:type="dxa"/>
          </w:tcPr>
          <w:p w14:paraId="71D6794F" w14:textId="0BE4487A" w:rsidR="00CA4250" w:rsidRPr="00CB7FDD" w:rsidRDefault="00CA4250" w:rsidP="00CB7FD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B7FDD">
              <w:rPr>
                <w:b/>
                <w:u w:val="single"/>
              </w:rPr>
              <w:t>Peer Positions</w:t>
            </w:r>
          </w:p>
        </w:tc>
        <w:tc>
          <w:tcPr>
            <w:tcW w:w="3232" w:type="dxa"/>
            <w:vMerge w:val="restart"/>
            <w:vAlign w:val="center"/>
          </w:tcPr>
          <w:p w14:paraId="21040211" w14:textId="37B6EACA" w:rsidR="00CA4250" w:rsidRPr="00CB7FDD" w:rsidRDefault="00CA4250" w:rsidP="00CA4250">
            <w:pPr>
              <w:spacing w:after="0" w:line="240" w:lineRule="auto"/>
              <w:jc w:val="center"/>
            </w:pPr>
            <w:r w:rsidRPr="00CB7FDD">
              <w:rPr>
                <w:b/>
                <w:sz w:val="24"/>
              </w:rPr>
              <w:t>PLEASE ENSURE YOU ATTACH CURRENT ORGANISATION CHART</w:t>
            </w:r>
          </w:p>
        </w:tc>
      </w:tr>
      <w:tr w:rsidR="00CA4250" w:rsidRPr="00CB7FDD" w14:paraId="6A0B4D9D" w14:textId="77777777" w:rsidTr="002B5381">
        <w:trPr>
          <w:trHeight w:val="689"/>
        </w:trPr>
        <w:tc>
          <w:tcPr>
            <w:tcW w:w="7366" w:type="dxa"/>
            <w:tcBorders>
              <w:bottom w:val="single" w:sz="4" w:space="0" w:color="auto"/>
            </w:tcBorders>
          </w:tcPr>
          <w:p w14:paraId="3A62A061" w14:textId="66F232FF" w:rsidR="00CA4250" w:rsidRPr="00CB7FDD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Reports to</w:t>
            </w:r>
            <w:r w:rsidR="007858E9">
              <w:rPr>
                <w:b/>
                <w:bCs/>
              </w:rPr>
              <w:t xml:space="preserve"> </w:t>
            </w:r>
            <w:r w:rsidRPr="00CA4250">
              <w:rPr>
                <w:i/>
                <w:iCs/>
              </w:rPr>
              <w:t xml:space="preserve">(dependent on </w:t>
            </w:r>
            <w:r w:rsidR="008F000A">
              <w:rPr>
                <w:i/>
                <w:iCs/>
              </w:rPr>
              <w:t>Division</w:t>
            </w:r>
            <w:r w:rsidRPr="00CA4250">
              <w:rPr>
                <w:i/>
                <w:iCs/>
              </w:rPr>
              <w:t>)</w:t>
            </w:r>
            <w:r w:rsidRPr="00CA4250">
              <w:t>:</w:t>
            </w:r>
          </w:p>
          <w:p w14:paraId="144A1A97" w14:textId="4E50DAAB" w:rsidR="00CA4250" w:rsidRPr="00CB7FDD" w:rsidRDefault="00270EA1" w:rsidP="003B1C0B">
            <w:pPr>
              <w:spacing w:after="0" w:line="240" w:lineRule="auto"/>
            </w:pPr>
            <w:r>
              <w:t>Commercial Strategy Controller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1260143" w14:textId="673B4EEA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329A4388" w14:textId="77777777" w:rsidTr="002B5381">
        <w:trPr>
          <w:trHeight w:val="416"/>
        </w:trPr>
        <w:tc>
          <w:tcPr>
            <w:tcW w:w="7366" w:type="dxa"/>
          </w:tcPr>
          <w:p w14:paraId="7224738E" w14:textId="69119599" w:rsidR="00CA4250" w:rsidRPr="007858E9" w:rsidRDefault="00CA4250" w:rsidP="00CB7FDD">
            <w:pPr>
              <w:spacing w:after="0" w:line="240" w:lineRule="auto"/>
              <w:rPr>
                <w:b/>
                <w:bCs/>
              </w:rPr>
            </w:pPr>
            <w:r w:rsidRPr="007858E9">
              <w:rPr>
                <w:b/>
                <w:bCs/>
              </w:rPr>
              <w:t>Works alongside and in collaboration with:</w:t>
            </w:r>
          </w:p>
          <w:p w14:paraId="3B3E36CD" w14:textId="25C86D3C" w:rsidR="00CA4250" w:rsidRPr="00CB7FDD" w:rsidRDefault="00E33A64" w:rsidP="00CB7FDD">
            <w:pPr>
              <w:spacing w:after="0" w:line="240" w:lineRule="auto"/>
            </w:pPr>
            <w:r>
              <w:t xml:space="preserve">Portfolio Director / Sales Director / Commercial Director / Customer Controllers / </w:t>
            </w:r>
            <w:r w:rsidR="00CA4250">
              <w:t>Customer Manager</w:t>
            </w:r>
            <w:r>
              <w:t xml:space="preserve"> / </w:t>
            </w:r>
            <w:r w:rsidR="00CA4250">
              <w:t xml:space="preserve"> Category Manager</w:t>
            </w:r>
            <w:r>
              <w:t xml:space="preserve"> / </w:t>
            </w:r>
            <w:r w:rsidR="00CA4250">
              <w:t>Marketing</w:t>
            </w:r>
            <w:r>
              <w:t xml:space="preserve"> Directors &amp; </w:t>
            </w:r>
            <w:r w:rsidR="00CA4250">
              <w:t xml:space="preserve"> Manager</w:t>
            </w:r>
            <w:r>
              <w:t>s</w:t>
            </w:r>
            <w:r w:rsidR="00CA4250">
              <w:t>, Finance Manager</w:t>
            </w:r>
            <w:r>
              <w:t xml:space="preserve"> / Supply Chain </w:t>
            </w:r>
          </w:p>
        </w:tc>
        <w:tc>
          <w:tcPr>
            <w:tcW w:w="3232" w:type="dxa"/>
            <w:vMerge/>
          </w:tcPr>
          <w:p w14:paraId="2DBC79D2" w14:textId="1254D761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68A65D82" w14:textId="77777777" w:rsidTr="002B5381">
        <w:trPr>
          <w:trHeight w:val="816"/>
        </w:trPr>
        <w:tc>
          <w:tcPr>
            <w:tcW w:w="7366" w:type="dxa"/>
          </w:tcPr>
          <w:p w14:paraId="55E55E66" w14:textId="6F1AA20C" w:rsidR="00CA4250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Line management</w:t>
            </w:r>
            <w:r>
              <w:t xml:space="preserve"> </w:t>
            </w:r>
            <w:r w:rsidRPr="00CA4250">
              <w:rPr>
                <w:i/>
                <w:iCs/>
              </w:rPr>
              <w:t xml:space="preserve">(dependent on </w:t>
            </w:r>
            <w:r w:rsidR="008F000A">
              <w:rPr>
                <w:i/>
                <w:iCs/>
              </w:rPr>
              <w:t xml:space="preserve">Division / </w:t>
            </w:r>
            <w:r w:rsidRPr="00CA4250">
              <w:rPr>
                <w:i/>
                <w:iCs/>
              </w:rPr>
              <w:t>Account portfolio)</w:t>
            </w:r>
            <w:r w:rsidRPr="00CA4250">
              <w:t>:</w:t>
            </w:r>
          </w:p>
          <w:p w14:paraId="631D94DE" w14:textId="0A626F0A" w:rsidR="00CA4250" w:rsidRPr="00CB7FDD" w:rsidRDefault="00E33A64" w:rsidP="00CB7FDD">
            <w:pPr>
              <w:spacing w:after="0" w:line="240" w:lineRule="auto"/>
            </w:pPr>
            <w:r>
              <w:t>NA</w:t>
            </w:r>
          </w:p>
        </w:tc>
        <w:tc>
          <w:tcPr>
            <w:tcW w:w="3232" w:type="dxa"/>
            <w:vMerge/>
            <w:vAlign w:val="center"/>
          </w:tcPr>
          <w:p w14:paraId="00E4E809" w14:textId="1703FF7F" w:rsidR="00CA4250" w:rsidRPr="00CB7FDD" w:rsidRDefault="00CA4250" w:rsidP="00CB7FD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14:paraId="4B300F13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63"/>
        <w:gridCol w:w="2109"/>
        <w:gridCol w:w="3120"/>
      </w:tblGrid>
      <w:tr w:rsidR="00441886" w:rsidRPr="00CB7FDD" w14:paraId="7AC4086C" w14:textId="77777777" w:rsidTr="002260A0">
        <w:tc>
          <w:tcPr>
            <w:tcW w:w="10682" w:type="dxa"/>
            <w:gridSpan w:val="4"/>
            <w:shd w:val="clear" w:color="auto" w:fill="76923C" w:themeFill="accent3" w:themeFillShade="BF"/>
          </w:tcPr>
          <w:p w14:paraId="0DBF30E9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8 </w:t>
            </w:r>
            <w:r w:rsidR="008A3951">
              <w:rPr>
                <w:color w:val="FFFFFF"/>
              </w:rPr>
              <w:t>–</w:t>
            </w:r>
            <w:r w:rsidRPr="00CB7FDD">
              <w:rPr>
                <w:color w:val="FFFFFF"/>
              </w:rPr>
              <w:t xml:space="preserve"> SIGNATORIES</w:t>
            </w:r>
          </w:p>
        </w:tc>
      </w:tr>
      <w:tr w:rsidR="00441886" w:rsidRPr="00CB7FDD" w14:paraId="7F8A8F37" w14:textId="77777777" w:rsidTr="00CB7FDD">
        <w:trPr>
          <w:trHeight w:val="494"/>
        </w:trPr>
        <w:tc>
          <w:tcPr>
            <w:tcW w:w="2093" w:type="dxa"/>
          </w:tcPr>
          <w:p w14:paraId="4D8416C3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Holder Signature</w:t>
            </w:r>
          </w:p>
        </w:tc>
        <w:tc>
          <w:tcPr>
            <w:tcW w:w="3247" w:type="dxa"/>
          </w:tcPr>
          <w:p w14:paraId="5F6A16AC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03F4AA8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Manager Signature</w:t>
            </w:r>
          </w:p>
        </w:tc>
        <w:tc>
          <w:tcPr>
            <w:tcW w:w="3203" w:type="dxa"/>
          </w:tcPr>
          <w:p w14:paraId="5C3F32BE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6E5BFE3E" w14:textId="77777777" w:rsidTr="00CB7FDD">
        <w:trPr>
          <w:trHeight w:val="558"/>
        </w:trPr>
        <w:tc>
          <w:tcPr>
            <w:tcW w:w="2093" w:type="dxa"/>
          </w:tcPr>
          <w:p w14:paraId="01A53C4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47" w:type="dxa"/>
          </w:tcPr>
          <w:p w14:paraId="3B0616AE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A0F57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03" w:type="dxa"/>
          </w:tcPr>
          <w:p w14:paraId="00F5BCE3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77CAF987" w14:textId="77777777" w:rsidTr="00CB7FDD">
        <w:trPr>
          <w:trHeight w:val="538"/>
        </w:trPr>
        <w:tc>
          <w:tcPr>
            <w:tcW w:w="2093" w:type="dxa"/>
          </w:tcPr>
          <w:p w14:paraId="5A35900D" w14:textId="77777777" w:rsidR="00441886" w:rsidRPr="00CB7FDD" w:rsidRDefault="00441886" w:rsidP="00CB7FDD">
            <w:pPr>
              <w:spacing w:after="0" w:line="240" w:lineRule="auto"/>
            </w:pPr>
            <w:r w:rsidRPr="00CB7FDD">
              <w:lastRenderedPageBreak/>
              <w:t>Date</w:t>
            </w:r>
          </w:p>
        </w:tc>
        <w:tc>
          <w:tcPr>
            <w:tcW w:w="3247" w:type="dxa"/>
          </w:tcPr>
          <w:p w14:paraId="53E42DF2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C373F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03" w:type="dxa"/>
          </w:tcPr>
          <w:p w14:paraId="2C454092" w14:textId="77777777" w:rsidR="00441886" w:rsidRPr="00CB7FDD" w:rsidRDefault="00441886" w:rsidP="00CB7FDD">
            <w:pPr>
              <w:spacing w:after="0" w:line="240" w:lineRule="auto"/>
            </w:pPr>
          </w:p>
        </w:tc>
      </w:tr>
    </w:tbl>
    <w:p w14:paraId="40D39DBD" w14:textId="77777777" w:rsidR="00441886" w:rsidRDefault="00441886" w:rsidP="00B92359"/>
    <w:sectPr w:rsidR="00441886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C5DA1" w14:textId="77777777" w:rsidR="00F43791" w:rsidRDefault="00F43791" w:rsidP="007E3DC1">
      <w:pPr>
        <w:spacing w:after="0" w:line="240" w:lineRule="auto"/>
      </w:pPr>
      <w:r>
        <w:separator/>
      </w:r>
    </w:p>
  </w:endnote>
  <w:endnote w:type="continuationSeparator" w:id="0">
    <w:p w14:paraId="0FC9C0B0" w14:textId="77777777" w:rsidR="00F43791" w:rsidRDefault="00F43791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CCF3" w14:textId="77777777" w:rsidR="00F43791" w:rsidRDefault="00F43791" w:rsidP="007E3DC1">
      <w:pPr>
        <w:spacing w:after="0" w:line="240" w:lineRule="auto"/>
      </w:pPr>
      <w:r>
        <w:separator/>
      </w:r>
    </w:p>
  </w:footnote>
  <w:footnote w:type="continuationSeparator" w:id="0">
    <w:p w14:paraId="1CAC1F31" w14:textId="77777777" w:rsidR="00F43791" w:rsidRDefault="00F43791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8203" w14:textId="4BDF58A5" w:rsidR="005B054B" w:rsidRPr="007E3DC1" w:rsidRDefault="00C141F3" w:rsidP="007E3DC1">
    <w:pPr>
      <w:pStyle w:val="Header"/>
      <w:jc w:val="center"/>
      <w:rPr>
        <w:b/>
        <w:sz w:val="32"/>
        <w:u w:val="single"/>
      </w:rPr>
    </w:pPr>
    <w:r w:rsidRPr="00C141F3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345337C" wp14:editId="0C211B15">
          <wp:simplePos x="0" y="0"/>
          <wp:positionH relativeFrom="margin">
            <wp:posOffset>5857240</wp:posOffset>
          </wp:positionH>
          <wp:positionV relativeFrom="paragraph">
            <wp:posOffset>-245110</wp:posOffset>
          </wp:positionV>
          <wp:extent cx="1031875" cy="965835"/>
          <wp:effectExtent l="0" t="0" r="0" b="5715"/>
          <wp:wrapSquare wrapText="bothSides"/>
          <wp:docPr id="7" name="Picture 6" descr="A green and black logo with leav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7011C6C-0995-CCC4-B008-023A9B0DEB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green and black logo with leaves&#10;&#10;Description automatically generated">
                    <a:extLst>
                      <a:ext uri="{FF2B5EF4-FFF2-40B4-BE49-F238E27FC236}">
                        <a16:creationId xmlns:a16="http://schemas.microsoft.com/office/drawing/2014/main" id="{27011C6C-0995-CCC4-B008-023A9B0DEB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54B" w:rsidRPr="007E3DC1">
      <w:rPr>
        <w:b/>
        <w:sz w:val="32"/>
        <w:u w:val="single"/>
      </w:rPr>
      <w:t>JOB DESCRIPTION</w:t>
    </w:r>
  </w:p>
  <w:p w14:paraId="3F9F8129" w14:textId="77777777" w:rsidR="005B054B" w:rsidRDefault="005B054B">
    <w:pPr>
      <w:pStyle w:val="Header"/>
    </w:pPr>
  </w:p>
  <w:p w14:paraId="652AD417" w14:textId="77777777" w:rsidR="005B054B" w:rsidRDefault="005B0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FB0"/>
    <w:multiLevelType w:val="hybridMultilevel"/>
    <w:tmpl w:val="9D4E5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C"/>
    <w:rsid w:val="00026D1A"/>
    <w:rsid w:val="00085E7E"/>
    <w:rsid w:val="000B0411"/>
    <w:rsid w:val="000D2CDA"/>
    <w:rsid w:val="000E6E6B"/>
    <w:rsid w:val="000F3DA2"/>
    <w:rsid w:val="00126EC2"/>
    <w:rsid w:val="0012731D"/>
    <w:rsid w:val="0013130C"/>
    <w:rsid w:val="00137489"/>
    <w:rsid w:val="00137CA4"/>
    <w:rsid w:val="00161D0B"/>
    <w:rsid w:val="001711D2"/>
    <w:rsid w:val="001754F3"/>
    <w:rsid w:val="00186508"/>
    <w:rsid w:val="00191F8E"/>
    <w:rsid w:val="00197E12"/>
    <w:rsid w:val="001A058E"/>
    <w:rsid w:val="001A4F4F"/>
    <w:rsid w:val="001A6479"/>
    <w:rsid w:val="001F0D01"/>
    <w:rsid w:val="002049A1"/>
    <w:rsid w:val="0020727C"/>
    <w:rsid w:val="00211DC3"/>
    <w:rsid w:val="00216A65"/>
    <w:rsid w:val="002260A0"/>
    <w:rsid w:val="00246182"/>
    <w:rsid w:val="0025282E"/>
    <w:rsid w:val="0025461C"/>
    <w:rsid w:val="00270EA1"/>
    <w:rsid w:val="00276230"/>
    <w:rsid w:val="002910DB"/>
    <w:rsid w:val="002B5381"/>
    <w:rsid w:val="002C4E17"/>
    <w:rsid w:val="002E26E6"/>
    <w:rsid w:val="002E7359"/>
    <w:rsid w:val="0031397B"/>
    <w:rsid w:val="00313C9F"/>
    <w:rsid w:val="00361407"/>
    <w:rsid w:val="00361D06"/>
    <w:rsid w:val="00364DBF"/>
    <w:rsid w:val="00375054"/>
    <w:rsid w:val="00383A36"/>
    <w:rsid w:val="00396698"/>
    <w:rsid w:val="003B1C0B"/>
    <w:rsid w:val="003E6457"/>
    <w:rsid w:val="004047B0"/>
    <w:rsid w:val="00404A0D"/>
    <w:rsid w:val="00404C4B"/>
    <w:rsid w:val="00437DE7"/>
    <w:rsid w:val="00441886"/>
    <w:rsid w:val="00443448"/>
    <w:rsid w:val="00452D1F"/>
    <w:rsid w:val="004720ED"/>
    <w:rsid w:val="00480EBB"/>
    <w:rsid w:val="00484E58"/>
    <w:rsid w:val="004D172E"/>
    <w:rsid w:val="004E002D"/>
    <w:rsid w:val="004E0C7E"/>
    <w:rsid w:val="004E26DA"/>
    <w:rsid w:val="0050237A"/>
    <w:rsid w:val="005055D1"/>
    <w:rsid w:val="00510BF0"/>
    <w:rsid w:val="00513ACE"/>
    <w:rsid w:val="00523FF2"/>
    <w:rsid w:val="0053452A"/>
    <w:rsid w:val="00555198"/>
    <w:rsid w:val="005770B3"/>
    <w:rsid w:val="00581EE9"/>
    <w:rsid w:val="005854F5"/>
    <w:rsid w:val="005A48EE"/>
    <w:rsid w:val="005B054B"/>
    <w:rsid w:val="005E33CA"/>
    <w:rsid w:val="005F4916"/>
    <w:rsid w:val="005F6936"/>
    <w:rsid w:val="005F7B93"/>
    <w:rsid w:val="00641635"/>
    <w:rsid w:val="006453CA"/>
    <w:rsid w:val="00651DA2"/>
    <w:rsid w:val="00655D36"/>
    <w:rsid w:val="00656B39"/>
    <w:rsid w:val="006619C2"/>
    <w:rsid w:val="0066362B"/>
    <w:rsid w:val="00690DA4"/>
    <w:rsid w:val="00694D36"/>
    <w:rsid w:val="006A1E25"/>
    <w:rsid w:val="006E1DE0"/>
    <w:rsid w:val="006F1591"/>
    <w:rsid w:val="006F337F"/>
    <w:rsid w:val="0070336C"/>
    <w:rsid w:val="00706316"/>
    <w:rsid w:val="00720511"/>
    <w:rsid w:val="00726613"/>
    <w:rsid w:val="00735D4B"/>
    <w:rsid w:val="007417E4"/>
    <w:rsid w:val="00752B0C"/>
    <w:rsid w:val="00767282"/>
    <w:rsid w:val="007858E9"/>
    <w:rsid w:val="00791B83"/>
    <w:rsid w:val="007E3DC1"/>
    <w:rsid w:val="00806225"/>
    <w:rsid w:val="008131F2"/>
    <w:rsid w:val="00832D08"/>
    <w:rsid w:val="00836A68"/>
    <w:rsid w:val="00843CE6"/>
    <w:rsid w:val="0085116E"/>
    <w:rsid w:val="008673A6"/>
    <w:rsid w:val="0087245D"/>
    <w:rsid w:val="00873205"/>
    <w:rsid w:val="008A3951"/>
    <w:rsid w:val="008A5661"/>
    <w:rsid w:val="008C4395"/>
    <w:rsid w:val="008E2E9C"/>
    <w:rsid w:val="008F000A"/>
    <w:rsid w:val="00914DD9"/>
    <w:rsid w:val="009723F9"/>
    <w:rsid w:val="009862C2"/>
    <w:rsid w:val="00993051"/>
    <w:rsid w:val="009A5231"/>
    <w:rsid w:val="009A72ED"/>
    <w:rsid w:val="009C191F"/>
    <w:rsid w:val="009C36FA"/>
    <w:rsid w:val="009D1CAA"/>
    <w:rsid w:val="009E2AAB"/>
    <w:rsid w:val="009F37CB"/>
    <w:rsid w:val="00A03C92"/>
    <w:rsid w:val="00A11626"/>
    <w:rsid w:val="00A11A4C"/>
    <w:rsid w:val="00A376BC"/>
    <w:rsid w:val="00A5799B"/>
    <w:rsid w:val="00A85A69"/>
    <w:rsid w:val="00A91A51"/>
    <w:rsid w:val="00AA54B7"/>
    <w:rsid w:val="00AB6178"/>
    <w:rsid w:val="00AC1673"/>
    <w:rsid w:val="00AF1548"/>
    <w:rsid w:val="00B06AEF"/>
    <w:rsid w:val="00B22126"/>
    <w:rsid w:val="00B41643"/>
    <w:rsid w:val="00B74746"/>
    <w:rsid w:val="00B74ABC"/>
    <w:rsid w:val="00B8328F"/>
    <w:rsid w:val="00B91A38"/>
    <w:rsid w:val="00B92359"/>
    <w:rsid w:val="00BA745D"/>
    <w:rsid w:val="00BB29A6"/>
    <w:rsid w:val="00BC2CA1"/>
    <w:rsid w:val="00BD2028"/>
    <w:rsid w:val="00C141F3"/>
    <w:rsid w:val="00C27D3F"/>
    <w:rsid w:val="00C41DB8"/>
    <w:rsid w:val="00C71A9A"/>
    <w:rsid w:val="00C83638"/>
    <w:rsid w:val="00C92378"/>
    <w:rsid w:val="00CA4250"/>
    <w:rsid w:val="00CB7FDD"/>
    <w:rsid w:val="00CD73B3"/>
    <w:rsid w:val="00CE2290"/>
    <w:rsid w:val="00CF4308"/>
    <w:rsid w:val="00D27624"/>
    <w:rsid w:val="00D27BFB"/>
    <w:rsid w:val="00D302C9"/>
    <w:rsid w:val="00D46504"/>
    <w:rsid w:val="00D470D6"/>
    <w:rsid w:val="00D67417"/>
    <w:rsid w:val="00D701FC"/>
    <w:rsid w:val="00D8133E"/>
    <w:rsid w:val="00DC2F25"/>
    <w:rsid w:val="00DC740B"/>
    <w:rsid w:val="00DD1BEC"/>
    <w:rsid w:val="00E2400C"/>
    <w:rsid w:val="00E33A64"/>
    <w:rsid w:val="00E446B6"/>
    <w:rsid w:val="00E67F9F"/>
    <w:rsid w:val="00E86048"/>
    <w:rsid w:val="00E87AA5"/>
    <w:rsid w:val="00EB3E83"/>
    <w:rsid w:val="00EC1C34"/>
    <w:rsid w:val="00ED6985"/>
    <w:rsid w:val="00F15F21"/>
    <w:rsid w:val="00F2399C"/>
    <w:rsid w:val="00F267A6"/>
    <w:rsid w:val="00F400EB"/>
    <w:rsid w:val="00F43791"/>
    <w:rsid w:val="00F50F1C"/>
    <w:rsid w:val="00F55865"/>
    <w:rsid w:val="00F71C8C"/>
    <w:rsid w:val="00F82E25"/>
    <w:rsid w:val="00FB796A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2ADDA"/>
  <w15:docId w15:val="{3604210D-693D-440E-84D8-C8E9A31C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D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D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302C9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87245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4856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>Daniels Group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Rahul Sharma</cp:lastModifiedBy>
  <cp:revision>2</cp:revision>
  <cp:lastPrinted>2014-11-13T13:58:00Z</cp:lastPrinted>
  <dcterms:created xsi:type="dcterms:W3CDTF">2025-04-11T07:26:00Z</dcterms:created>
  <dcterms:modified xsi:type="dcterms:W3CDTF">2025-04-11T07:26:00Z</dcterms:modified>
</cp:coreProperties>
</file>